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47412" w14:textId="1526FB6D" w:rsidR="00E90E49" w:rsidRPr="00327997" w:rsidRDefault="00E90E49" w:rsidP="00327997">
      <w:pPr>
        <w:pStyle w:val="3GPPHeader"/>
        <w:rPr>
          <w:highlight w:val="yellow"/>
        </w:rPr>
      </w:pPr>
      <w:r w:rsidRPr="00327997">
        <w:t>3GPP TSG-RAN WG</w:t>
      </w:r>
      <w:r w:rsidR="00790B99" w:rsidRPr="00327997">
        <w:t>1</w:t>
      </w:r>
      <w:r w:rsidRPr="00327997">
        <w:t xml:space="preserve"> #</w:t>
      </w:r>
      <w:r w:rsidR="009C6832">
        <w:t>86</w:t>
      </w:r>
      <w:r w:rsidR="00575DA6">
        <w:t>bis</w:t>
      </w:r>
      <w:r w:rsidRPr="00327997">
        <w:tab/>
      </w:r>
      <w:r w:rsidR="00790B99" w:rsidRPr="00327997">
        <w:t>R1</w:t>
      </w:r>
      <w:r w:rsidR="00091557" w:rsidRPr="002864FD">
        <w:t>-</w:t>
      </w:r>
      <w:r w:rsidR="005F3025" w:rsidRPr="002864FD">
        <w:t>1</w:t>
      </w:r>
      <w:r w:rsidR="00413E92" w:rsidRPr="002864FD">
        <w:t>6</w:t>
      </w:r>
      <w:r w:rsidR="002864FD" w:rsidRPr="002864FD">
        <w:t>09762</w:t>
      </w:r>
    </w:p>
    <w:p w14:paraId="25C5A67D" w14:textId="77777777" w:rsidR="00E90E49" w:rsidRPr="00327997" w:rsidRDefault="00575DA6" w:rsidP="00327997">
      <w:pPr>
        <w:pStyle w:val="3GPPHeader"/>
      </w:pPr>
      <w:r>
        <w:t>Lisbon</w:t>
      </w:r>
      <w:r w:rsidR="0027144F" w:rsidRPr="009C6832">
        <w:t xml:space="preserve">, </w:t>
      </w:r>
      <w:r>
        <w:t>Portugal</w:t>
      </w:r>
      <w:r w:rsidR="0027144F" w:rsidRPr="009C6832">
        <w:t xml:space="preserve">, </w:t>
      </w:r>
      <w:r>
        <w:t>October</w:t>
      </w:r>
      <w:r w:rsidR="00790B99" w:rsidRPr="009C6832">
        <w:t xml:space="preserve"> </w:t>
      </w:r>
      <w:r>
        <w:t>10</w:t>
      </w:r>
      <w:r w:rsidR="0027144F" w:rsidRPr="009C6832">
        <w:t xml:space="preserve"> – </w:t>
      </w:r>
      <w:r>
        <w:t>14</w:t>
      </w:r>
      <w:r w:rsidR="00790B99" w:rsidRPr="009C6832">
        <w:t>,</w:t>
      </w:r>
      <w:r w:rsidR="0027144F" w:rsidRPr="009C6832">
        <w:t xml:space="preserve"> 20</w:t>
      </w:r>
      <w:r w:rsidR="009C6832" w:rsidRPr="009C6832">
        <w:t>16</w:t>
      </w:r>
    </w:p>
    <w:p w14:paraId="2A90DBFC" w14:textId="77777777" w:rsidR="00E90E49" w:rsidRPr="00CE0424" w:rsidRDefault="00E90E49" w:rsidP="00357380">
      <w:pPr>
        <w:pStyle w:val="3GPPHeader"/>
      </w:pPr>
    </w:p>
    <w:p w14:paraId="12540C78" w14:textId="77777777" w:rsidR="00E90E49" w:rsidRPr="002864FD" w:rsidRDefault="003D3C45" w:rsidP="00327997">
      <w:pPr>
        <w:pStyle w:val="3GPPHeader"/>
      </w:pPr>
      <w:r w:rsidRPr="00327997">
        <w:t>Source:</w:t>
      </w:r>
      <w:r w:rsidR="00E90E49" w:rsidRPr="00327997">
        <w:tab/>
      </w:r>
      <w:r w:rsidR="00F64C2B" w:rsidRPr="002864FD">
        <w:t>Ericsson</w:t>
      </w:r>
    </w:p>
    <w:p w14:paraId="3D6F1ABB" w14:textId="77777777" w:rsidR="00E90E49" w:rsidRPr="002864FD" w:rsidRDefault="003D3C45" w:rsidP="00327997">
      <w:pPr>
        <w:pStyle w:val="3GPPHeader"/>
      </w:pPr>
      <w:r w:rsidRPr="002864FD">
        <w:t>Title:</w:t>
      </w:r>
      <w:r w:rsidR="00E90E49" w:rsidRPr="002864FD">
        <w:tab/>
      </w:r>
      <w:r w:rsidR="004C17C3" w:rsidRPr="002864FD">
        <w:t>Port combining codebook</w:t>
      </w:r>
      <w:r w:rsidR="001710DF" w:rsidRPr="002864FD">
        <w:t xml:space="preserve"> for NR</w:t>
      </w:r>
    </w:p>
    <w:p w14:paraId="6A61482E" w14:textId="77777777" w:rsidR="00952A24" w:rsidRPr="00327997" w:rsidRDefault="00952A24" w:rsidP="00327997">
      <w:pPr>
        <w:pStyle w:val="3GPPHeader"/>
      </w:pPr>
      <w:r w:rsidRPr="002864FD">
        <w:t>Agenda Item:</w:t>
      </w:r>
      <w:r w:rsidRPr="002864FD">
        <w:tab/>
      </w:r>
      <w:r w:rsidR="001710DF" w:rsidRPr="002864FD">
        <w:t>8.1.4.3</w:t>
      </w:r>
    </w:p>
    <w:p w14:paraId="311AFB28"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321FD54" w14:textId="77777777" w:rsidR="00E90E49" w:rsidRPr="00CE0424" w:rsidRDefault="007F75D5" w:rsidP="00CE0424">
      <w:pPr>
        <w:pStyle w:val="Heading1"/>
      </w:pPr>
      <w:r>
        <w:t>Introduction</w:t>
      </w:r>
    </w:p>
    <w:p w14:paraId="7A006A83" w14:textId="77777777" w:rsidR="00BF7642" w:rsidRPr="00E9149C" w:rsidRDefault="00575DA6" w:rsidP="00BF7642">
      <w:pPr>
        <w:pStyle w:val="BodyText"/>
      </w:pPr>
      <w:r>
        <w:t>In RAN1#86</w:t>
      </w:r>
      <w:r w:rsidR="00BF7642">
        <w:t xml:space="preserve">, </w:t>
      </w:r>
      <w:r w:rsidR="00FC4723">
        <w:t>a set of</w:t>
      </w:r>
      <w:r w:rsidR="00BF7642">
        <w:t xml:space="preserve"> agreement </w:t>
      </w:r>
      <w:r w:rsidR="00FC4723">
        <w:t>were made and relevant for this contribution, we highlight the following selected agreements</w:t>
      </w:r>
      <w:r w:rsidR="00BF7642">
        <w:t>:</w:t>
      </w:r>
    </w:p>
    <w:p w14:paraId="7D030C1D" w14:textId="77777777" w:rsidR="00BF7642" w:rsidRDefault="00BF7642" w:rsidP="00BF7642">
      <w:pPr>
        <w:pStyle w:val="BodyText"/>
      </w:pPr>
      <w:r>
        <w:rPr>
          <w:noProof/>
          <w:lang w:val="sv-SE" w:eastAsia="sv-SE"/>
        </w:rPr>
        <mc:AlternateContent>
          <mc:Choice Requires="wps">
            <w:drawing>
              <wp:inline distT="0" distB="0" distL="0" distR="0" wp14:anchorId="4B9B5DB4" wp14:editId="226694A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D215A9" w14:textId="77777777" w:rsidR="00FC4723" w:rsidRPr="00BF29DF" w:rsidRDefault="00FC4723"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14:paraId="2495EA7C"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14:paraId="265154B7"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14:paraId="192BB6C4" w14:textId="77777777" w:rsidR="00FC4723"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14:paraId="3D0F3F37" w14:textId="77777777"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14:paraId="0CF8FBCC" w14:textId="77777777" w:rsidR="00BF7642" w:rsidRPr="00E358A1" w:rsidRDefault="00FC4723" w:rsidP="00BF7642">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FC4723" w:rsidRPr="00BF29DF" w:rsidRDefault="00FC4723" w:rsidP="00FC4723">
                      <w:pPr>
                        <w:numPr>
                          <w:ilvl w:val="0"/>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 xml:space="preserve">A </w:t>
                      </w:r>
                      <w:r>
                        <w:rPr>
                          <w:rFonts w:eastAsia="MS Mincho" w:hint="eastAsia"/>
                          <w:lang w:val="en-US" w:eastAsia="ja-JP"/>
                        </w:rPr>
                        <w:t>simplified</w:t>
                      </w:r>
                      <w:r w:rsidRPr="00BF29DF">
                        <w:rPr>
                          <w:rFonts w:eastAsia="MS Mincho"/>
                          <w:lang w:val="en-US" w:eastAsia="ja-JP"/>
                        </w:rPr>
                        <w:t xml:space="preserve"> CSI acquisition framework should be studied in NR, which could support</w:t>
                      </w:r>
                    </w:p>
                    <w:p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measurement based on CSI-RS</w:t>
                      </w:r>
                      <w:r>
                        <w:rPr>
                          <w:rFonts w:eastAsia="MS Mincho" w:hint="eastAsia"/>
                          <w:lang w:val="en-US" w:eastAsia="ja-JP"/>
                        </w:rPr>
                        <w:t xml:space="preserve"> (if supported)</w:t>
                      </w:r>
                    </w:p>
                    <w:p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Implicit and explicit CSI feedback</w:t>
                      </w:r>
                    </w:p>
                    <w:p w:rsidR="00FC4723"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CSI acquisition</w:t>
                      </w:r>
                      <w:r>
                        <w:rPr>
                          <w:rFonts w:eastAsia="MS Mincho" w:hint="eastAsia"/>
                          <w:lang w:val="en-US" w:eastAsia="ja-JP"/>
                        </w:rPr>
                        <w:t xml:space="preserve"> based on different degree of reciprocity</w:t>
                      </w:r>
                    </w:p>
                    <w:p w:rsidR="00FC4723" w:rsidRPr="00BF29DF" w:rsidRDefault="00FC4723" w:rsidP="00FC4723">
                      <w:pPr>
                        <w:numPr>
                          <w:ilvl w:val="1"/>
                          <w:numId w:val="15"/>
                        </w:numPr>
                        <w:overflowPunct/>
                        <w:autoSpaceDE/>
                        <w:autoSpaceDN/>
                        <w:adjustRightInd/>
                        <w:spacing w:after="0"/>
                        <w:jc w:val="left"/>
                        <w:textAlignment w:val="auto"/>
                        <w:rPr>
                          <w:rFonts w:eastAsia="MS Mincho"/>
                          <w:lang w:val="en-US" w:eastAsia="ja-JP"/>
                        </w:rPr>
                      </w:pPr>
                      <w:r w:rsidRPr="00BF29DF">
                        <w:rPr>
                          <w:rFonts w:eastAsia="MS Mincho"/>
                          <w:lang w:val="en-US" w:eastAsia="ja-JP"/>
                        </w:rPr>
                        <w:t>Other features to be supported</w:t>
                      </w:r>
                    </w:p>
                    <w:p w:rsidR="00BF7642" w:rsidRPr="00E358A1" w:rsidRDefault="00FC4723" w:rsidP="00BF7642">
                      <w:pPr>
                        <w:numPr>
                          <w:ilvl w:val="0"/>
                          <w:numId w:val="15"/>
                        </w:numPr>
                        <w:overflowPunct/>
                        <w:autoSpaceDE/>
                        <w:autoSpaceDN/>
                        <w:adjustRightInd/>
                        <w:spacing w:after="0"/>
                        <w:jc w:val="left"/>
                        <w:textAlignment w:val="auto"/>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txbxContent>
                </v:textbox>
                <w10:anchorlock/>
              </v:shape>
            </w:pict>
          </mc:Fallback>
        </mc:AlternateContent>
      </w:r>
    </w:p>
    <w:p w14:paraId="78F49D5B" w14:textId="77777777" w:rsidR="00477768" w:rsidRDefault="00B86E0C" w:rsidP="00BF7642">
      <w:pPr>
        <w:pStyle w:val="BodyText"/>
      </w:pPr>
      <w:r>
        <w:t>In this contribution, we propose to adopt parts of the LTE Rel.14 codebook and extend it to cover also 2, 4  and 8 port layouts.</w:t>
      </w:r>
    </w:p>
    <w:p w14:paraId="5B45B0C1" w14:textId="7F56CE89" w:rsidR="004E2966" w:rsidRDefault="004E2966" w:rsidP="00BF7642">
      <w:pPr>
        <w:pStyle w:val="BodyText"/>
      </w:pPr>
      <w:r>
        <w:t xml:space="preserve">Note that we introduce the terms </w:t>
      </w:r>
      <w:r w:rsidRPr="004E2966">
        <w:rPr>
          <w:b/>
        </w:rPr>
        <w:t>“port combining”</w:t>
      </w:r>
      <w:r>
        <w:t xml:space="preserve"> and </w:t>
      </w:r>
      <w:r w:rsidRPr="004E2966">
        <w:rPr>
          <w:b/>
        </w:rPr>
        <w:t>“port selection”</w:t>
      </w:r>
      <w:r>
        <w:t xml:space="preserve"> in a way to unify the NR CSI feedback framework to cover a wide variety of use cases. The LTE Class A codebook is a port combining codebook since it combines (by recommended phase shifts) the measured CSI-RS ports into R ports where R is the preferred rank. </w:t>
      </w:r>
      <w:r w:rsidR="002864FD">
        <w:t>Typically,</w:t>
      </w:r>
      <w:r>
        <w:t xml:space="preserve"> R is smaller than the total number of measured ports. The LTE Class B feedback is using port selection</w:t>
      </w:r>
      <w:r w:rsidR="002864FD">
        <w:t xml:space="preserve"> prior to port combining</w:t>
      </w:r>
      <w:r>
        <w:t xml:space="preserve"> as the UE autonomously selects a subset of the total number of measured ports and reports CSI for those only. </w:t>
      </w:r>
    </w:p>
    <w:p w14:paraId="1B9AD054" w14:textId="0EB774EF" w:rsidR="00E358A1" w:rsidRPr="00CE0424" w:rsidRDefault="00E358A1" w:rsidP="00BF7642">
      <w:pPr>
        <w:pStyle w:val="BodyText"/>
      </w:pPr>
      <w:r>
        <w:t xml:space="preserve">This contribution </w:t>
      </w:r>
      <w:r w:rsidR="002864FD">
        <w:t>discusses</w:t>
      </w:r>
      <w:r>
        <w:t xml:space="preserve"> the basics of port combining, when subsequently can be used as one component in hybrid CSI feedback method where port combining and port selections are used together.</w:t>
      </w:r>
    </w:p>
    <w:p w14:paraId="1D36F5CB" w14:textId="77777777" w:rsidR="004000E8" w:rsidRDefault="004000E8" w:rsidP="00CE0424">
      <w:pPr>
        <w:pStyle w:val="Heading1"/>
      </w:pPr>
      <w:bookmarkStart w:id="0" w:name="_Ref178064866"/>
      <w:r w:rsidRPr="00CE0424">
        <w:t>Discussion</w:t>
      </w:r>
      <w:bookmarkEnd w:id="0"/>
      <w:r w:rsidR="00462E14">
        <w:t xml:space="preserve"> on </w:t>
      </w:r>
      <w:r w:rsidR="004C17C3">
        <w:t>port combining</w:t>
      </w:r>
    </w:p>
    <w:p w14:paraId="608026F7" w14:textId="50E1EA0F" w:rsidR="00DA39ED" w:rsidRDefault="000B48EC" w:rsidP="003A0E41">
      <w:r>
        <w:t xml:space="preserve">The new RAT spans a much larger </w:t>
      </w:r>
      <w:r w:rsidR="00CB23A0">
        <w:t xml:space="preserve">range </w:t>
      </w:r>
      <w:r>
        <w:t xml:space="preserve">of frequency bands compared to LTE and </w:t>
      </w:r>
      <w:r w:rsidR="00DA39ED">
        <w:t xml:space="preserve">its capabilities could be seen a superset of LTE capabilities which operates below 6 GHz and with digital antenna front ends. For LTE, CSI feedback with up to 32 antenna ports is specified in Rel.14 with a very flexible antenna port layout design covering both one dimensional and two-dimensional port layouts. The purpose of this flexible design is to give freedom in implementation of advanced antenna front ends, since the number of ports influences the size, number of radio chains, power </w:t>
      </w:r>
      <w:r w:rsidR="00DA39ED" w:rsidRPr="002864FD">
        <w:t xml:space="preserve">consumption, etc. </w:t>
      </w:r>
      <w:r w:rsidR="006152F5" w:rsidRPr="002864FD">
        <w:t xml:space="preserve">Also, which port layout to use depends also on the typical UE distribution in the cell, and it has been shown </w:t>
      </w:r>
      <w:r w:rsidR="002864FD" w:rsidRPr="002864FD">
        <w:t xml:space="preserve">during LTE work items </w:t>
      </w:r>
      <w:r w:rsidR="006152F5" w:rsidRPr="002864FD">
        <w:t>that the</w:t>
      </w:r>
      <w:r w:rsidR="006152F5">
        <w:t xml:space="preserve"> horizontal </w:t>
      </w:r>
      <w:r w:rsidR="00995B81">
        <w:t>one-dimensional</w:t>
      </w:r>
      <w:r w:rsidR="006152F5">
        <w:t xml:space="preserve"> port layout is superior when the UEs are mainly distributed horizontally as in the urban macro cell. </w:t>
      </w:r>
      <w:r w:rsidR="00DA39ED">
        <w:t xml:space="preserve"> </w:t>
      </w:r>
    </w:p>
    <w:p w14:paraId="2F63B0BE" w14:textId="77777777" w:rsidR="003A0E41" w:rsidRDefault="006152F5" w:rsidP="003A0E41">
      <w:r>
        <w:t>As a</w:t>
      </w:r>
      <w:r w:rsidR="00DA39ED">
        <w:t xml:space="preserve">n operator could </w:t>
      </w:r>
      <w:r>
        <w:t>choose to</w:t>
      </w:r>
      <w:r w:rsidR="00DA39ED">
        <w:t xml:space="preserve"> deploy NR in typical LTE frequency bands</w:t>
      </w:r>
      <w:r w:rsidR="00462E14">
        <w:t>, duplex method</w:t>
      </w:r>
      <w:r>
        <w:t xml:space="preserve"> and with typical LTE antennas, it is important that NR at least have the same MIMO functionalities as LTE. It may even be so that an operator migrates LTE to NR at some point, without replacing the antenna front end.  </w:t>
      </w:r>
      <w:r w:rsidR="00DA39ED">
        <w:t xml:space="preserve"> </w:t>
      </w:r>
    </w:p>
    <w:p w14:paraId="1E8028CA" w14:textId="77777777" w:rsidR="000B48EC" w:rsidRDefault="00DA39ED" w:rsidP="00462E14">
      <w:pPr>
        <w:pStyle w:val="Proposal"/>
      </w:pPr>
      <w:bookmarkStart w:id="1" w:name="_Toc462990432"/>
      <w:r>
        <w:t xml:space="preserve">NR </w:t>
      </w:r>
      <w:r w:rsidR="006152F5">
        <w:t>should</w:t>
      </w:r>
      <w:r>
        <w:t xml:space="preserve"> support</w:t>
      </w:r>
      <w:r w:rsidR="000B48EC">
        <w:t xml:space="preserve"> at least the same</w:t>
      </w:r>
      <w:r>
        <w:t xml:space="preserve"> MIMO </w:t>
      </w:r>
      <w:r w:rsidR="00964A8D">
        <w:t xml:space="preserve">capabilities </w:t>
      </w:r>
      <w:r>
        <w:t>and thus</w:t>
      </w:r>
      <w:r w:rsidR="000B48EC">
        <w:t xml:space="preserve"> CSI feedback </w:t>
      </w:r>
      <w:r w:rsidR="00462E14">
        <w:t xml:space="preserve">port layout </w:t>
      </w:r>
      <w:r w:rsidR="000B48EC">
        <w:t>capabilities as LTE</w:t>
      </w:r>
      <w:bookmarkEnd w:id="1"/>
    </w:p>
    <w:p w14:paraId="35A996F7" w14:textId="77777777" w:rsidR="00462E14" w:rsidRDefault="00462E14" w:rsidP="006152F5">
      <w:pPr>
        <w:pStyle w:val="Observation"/>
        <w:numPr>
          <w:ilvl w:val="0"/>
          <w:numId w:val="0"/>
        </w:numPr>
        <w:rPr>
          <w:b w:val="0"/>
        </w:rPr>
      </w:pPr>
      <w:r>
        <w:rPr>
          <w:b w:val="0"/>
        </w:rPr>
        <w:t xml:space="preserve">Since the work in LTE already have provided a good and scalable codebook we suggest it can be used also in NR. However, we also have an agreement for NR, to avoid equally performing configurations, hence, which parts to inherit from LTE </w:t>
      </w:r>
      <w:r w:rsidR="002F5BA3">
        <w:rPr>
          <w:b w:val="0"/>
        </w:rPr>
        <w:t>needs careful selection, to avoid the situation in LTE with too many classes and configurations for the CSI framework.</w:t>
      </w:r>
    </w:p>
    <w:p w14:paraId="46114371" w14:textId="07D665EE" w:rsidR="00462E14" w:rsidRPr="00462E14" w:rsidRDefault="00462E14" w:rsidP="006152F5">
      <w:pPr>
        <w:pStyle w:val="Observation"/>
        <w:numPr>
          <w:ilvl w:val="0"/>
          <w:numId w:val="0"/>
        </w:numPr>
        <w:rPr>
          <w:b w:val="0"/>
        </w:rPr>
      </w:pPr>
      <w:r>
        <w:rPr>
          <w:b w:val="0"/>
        </w:rPr>
        <w:lastRenderedPageBreak/>
        <w:t>In LTE, the class A codebook has four different configurations and for each configuration, a set of different oversampling factors per dimension. These are used to trade performance vs overhead.  In [</w:t>
      </w:r>
      <w:r w:rsidR="002864FD">
        <w:rPr>
          <w:b w:val="0"/>
        </w:rPr>
        <w:t>1</w:t>
      </w:r>
      <w:r>
        <w:rPr>
          <w:b w:val="0"/>
        </w:rPr>
        <w:t xml:space="preserve">], the configuration 1,2 and 4 was compared for 12 and 16 port layouts in UMa and UMi, respectively. See the results in </w:t>
      </w:r>
      <w:r>
        <w:rPr>
          <w:b w:val="0"/>
        </w:rPr>
        <w:fldChar w:fldCharType="begin"/>
      </w:r>
      <w:r>
        <w:rPr>
          <w:b w:val="0"/>
        </w:rPr>
        <w:instrText xml:space="preserve"> REF _Ref462628062 \h </w:instrText>
      </w:r>
      <w:r>
        <w:rPr>
          <w:b w:val="0"/>
        </w:rPr>
      </w:r>
      <w:r>
        <w:rPr>
          <w:b w:val="0"/>
        </w:rPr>
        <w:fldChar w:fldCharType="separate"/>
      </w:r>
      <w:r w:rsidR="006A4D38">
        <w:t xml:space="preserve">Table </w:t>
      </w:r>
      <w:r w:rsidR="006A4D38">
        <w:rPr>
          <w:noProof/>
        </w:rPr>
        <w:t>1</w:t>
      </w:r>
      <w:r>
        <w:rPr>
          <w:b w:val="0"/>
        </w:rPr>
        <w:fldChar w:fldCharType="end"/>
      </w:r>
      <w:r>
        <w:rPr>
          <w:b w:val="0"/>
        </w:rPr>
        <w:t xml:space="preserve"> below. </w:t>
      </w:r>
    </w:p>
    <w:p w14:paraId="1F552B5B" w14:textId="0F63DE0E" w:rsidR="00462E14" w:rsidRDefault="00462E14" w:rsidP="00462E14">
      <w:pPr>
        <w:pStyle w:val="Caption"/>
        <w:keepNext/>
      </w:pPr>
      <w:bookmarkStart w:id="2" w:name="_Ref462628062"/>
      <w:r>
        <w:t xml:space="preserve">Table </w:t>
      </w:r>
      <w:r>
        <w:fldChar w:fldCharType="begin"/>
      </w:r>
      <w:r>
        <w:instrText xml:space="preserve"> SEQ Table \* ARABIC </w:instrText>
      </w:r>
      <w:r>
        <w:fldChar w:fldCharType="separate"/>
      </w:r>
      <w:r w:rsidR="006A4D38">
        <w:rPr>
          <w:noProof/>
        </w:rPr>
        <w:t>1</w:t>
      </w:r>
      <w:r>
        <w:fldChar w:fldCharType="end"/>
      </w:r>
      <w:bookmarkEnd w:id="2"/>
      <w:r>
        <w:t xml:space="preserve"> Performance comparison of LTE Rel.13 Config. 1,2,4 codebooks</w:t>
      </w:r>
      <w:r w:rsidR="002F5BA3">
        <w:t xml:space="preserve"> (</w:t>
      </w:r>
      <w:r w:rsidR="002F5BA3" w:rsidRPr="002864FD">
        <w:t xml:space="preserve">from </w:t>
      </w:r>
      <w:r w:rsidR="002864FD" w:rsidRPr="002864FD">
        <w:t>[1</w:t>
      </w:r>
      <w:r w:rsidR="002F5BA3" w:rsidRPr="002864FD">
        <w:t>])</w:t>
      </w:r>
    </w:p>
    <w:p w14:paraId="216D0BB7" w14:textId="77777777" w:rsidR="002F5BA3" w:rsidRPr="002F5BA3" w:rsidRDefault="002F5BA3" w:rsidP="006152F5">
      <w:pPr>
        <w:pStyle w:val="Observation"/>
        <w:numPr>
          <w:ilvl w:val="0"/>
          <w:numId w:val="0"/>
        </w:numPr>
        <w:rPr>
          <w:lang w:val="en-US"/>
        </w:rPr>
      </w:pPr>
    </w:p>
    <w:p w14:paraId="6F673429" w14:textId="77777777" w:rsidR="006152F5" w:rsidRDefault="00995B81" w:rsidP="006152F5">
      <w:pPr>
        <w:pStyle w:val="Observation"/>
        <w:numPr>
          <w:ilvl w:val="0"/>
          <w:numId w:val="0"/>
        </w:numPr>
      </w:pPr>
      <w:r w:rsidRPr="00995B81">
        <w:rPr>
          <w:lang w:val="sv-SE"/>
        </w:rPr>
        <w:object w:dxaOrig="9053" w:dyaOrig="2949" w14:anchorId="54620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47.45pt" o:ole="">
            <v:imagedata r:id="rId8" o:title=""/>
          </v:shape>
          <o:OLEObject Type="Embed" ProgID="Word.Document.12" ShapeID="_x0000_i1025" DrawAspect="Content" ObjectID="_1536778169" r:id="rId9">
            <o:FieldCodes>\s</o:FieldCodes>
          </o:OLEObject>
        </w:object>
      </w:r>
    </w:p>
    <w:p w14:paraId="6548EA13" w14:textId="78491673" w:rsidR="00995B81" w:rsidRPr="002F5BA3" w:rsidRDefault="002F5BA3" w:rsidP="006152F5">
      <w:pPr>
        <w:pStyle w:val="Observation"/>
        <w:numPr>
          <w:ilvl w:val="0"/>
          <w:numId w:val="0"/>
        </w:numPr>
        <w:rPr>
          <w:b w:val="0"/>
        </w:rPr>
      </w:pPr>
      <w:r>
        <w:rPr>
          <w:b w:val="0"/>
        </w:rPr>
        <w:t xml:space="preserve">As the table shows, configuration 1, which is a simple co-phasing, performs about the same as the more complex configuration 2 and 4, although the </w:t>
      </w:r>
      <w:r w:rsidR="002B3811">
        <w:rPr>
          <w:b w:val="0"/>
        </w:rPr>
        <w:t xml:space="preserve">CSI feedback </w:t>
      </w:r>
      <w:r>
        <w:rPr>
          <w:b w:val="0"/>
        </w:rPr>
        <w:t xml:space="preserve">overhead is much less. Although this study is by no means exhaustive and did not include configuration 3, we don’t expect any significant benefit of configuration 3.  </w:t>
      </w:r>
    </w:p>
    <w:p w14:paraId="3948CB5F" w14:textId="77777777" w:rsidR="000B48EC" w:rsidRDefault="000B48EC" w:rsidP="000B48EC">
      <w:pPr>
        <w:pStyle w:val="Observation"/>
      </w:pPr>
      <w:r>
        <w:t>In the LTE Class A CSI feedback, the performance of Configura</w:t>
      </w:r>
      <w:r w:rsidR="002F5BA3">
        <w:t>tion 1,2,</w:t>
      </w:r>
      <w:r>
        <w:t xml:space="preserve">4 is </w:t>
      </w:r>
      <w:r w:rsidR="002F5BA3">
        <w:t xml:space="preserve">about </w:t>
      </w:r>
      <w:r w:rsidR="00620A26">
        <w:t>the same</w:t>
      </w:r>
    </w:p>
    <w:p w14:paraId="38AEC7A4" w14:textId="77777777" w:rsidR="000B48EC" w:rsidRDefault="000B48EC" w:rsidP="003A0E41">
      <w:r>
        <w:t>Since the CSI feedback overhead is significantly lower for Configuration 1 compared to the other configurations, we propose</w:t>
      </w:r>
    </w:p>
    <w:p w14:paraId="242DA709" w14:textId="77777777" w:rsidR="000B48EC" w:rsidRDefault="000B48EC" w:rsidP="000B48EC">
      <w:pPr>
        <w:pStyle w:val="Proposal"/>
      </w:pPr>
      <w:bookmarkStart w:id="3" w:name="_Toc462990433"/>
      <w:r>
        <w:t>The Rel.</w:t>
      </w:r>
      <w:r w:rsidR="00752879">
        <w:t>13/</w:t>
      </w:r>
      <w:r>
        <w:t xml:space="preserve">14 LTE Class A Configuration 1 </w:t>
      </w:r>
      <w:r w:rsidR="00752879">
        <w:t xml:space="preserve">scalable </w:t>
      </w:r>
      <w:r>
        <w:t xml:space="preserve">codebook with all the port layouts supported in LTE is </w:t>
      </w:r>
      <w:r w:rsidR="00752879">
        <w:t>used</w:t>
      </w:r>
      <w:r w:rsidR="00B86E0C">
        <w:t xml:space="preserve"> as the port combining</w:t>
      </w:r>
      <w:r w:rsidR="00620A26">
        <w:t xml:space="preserve"> codebook</w:t>
      </w:r>
      <w:r>
        <w:t xml:space="preserve"> </w:t>
      </w:r>
      <w:r w:rsidR="00752879">
        <w:t>for</w:t>
      </w:r>
      <w:r>
        <w:t xml:space="preserve"> NR</w:t>
      </w:r>
      <w:bookmarkEnd w:id="3"/>
    </w:p>
    <w:p w14:paraId="066DD08D" w14:textId="23549930" w:rsidR="00620A26" w:rsidRDefault="0051195F" w:rsidP="003A0E41">
      <w:r>
        <w:t>There could</w:t>
      </w:r>
      <w:r w:rsidR="00620A26">
        <w:t xml:space="preserve"> </w:t>
      </w:r>
      <w:r>
        <w:t>possibly be</w:t>
      </w:r>
      <w:r w:rsidR="00620A26">
        <w:t xml:space="preserve"> further simplification of the Rel.14 LTE codebook</w:t>
      </w:r>
      <w:r>
        <w:t xml:space="preserve"> when adopting it for NR</w:t>
      </w:r>
      <w:r w:rsidR="00620A26">
        <w:t xml:space="preserve">, by </w:t>
      </w:r>
      <w:r>
        <w:t xml:space="preserve">reducing the set of possible oversampling factors. The higher oversampling factors provide additional detailed channel information at the cost of more signalling overhead. The benefits of oversampling factor 8 vs 4 for SU-MIMO are rather marginal, but there could be some benefit for MU-MIMO which should be investigated further. On the other hand, advanced CSI feedback is also to be further studied, providing richer spatial resolution. Hence, it could be so that the “normal” CSI feedback only </w:t>
      </w:r>
      <w:r w:rsidR="002864FD">
        <w:t>must</w:t>
      </w:r>
      <w:r>
        <w:t xml:space="preserve"> have support for the lowest oversampling factor if there is anyway an additional high resolution </w:t>
      </w:r>
      <w:r w:rsidR="001E7CA1">
        <w:t xml:space="preserve">advanced </w:t>
      </w:r>
      <w:r>
        <w:t>CSI method specified</w:t>
      </w:r>
      <w:r w:rsidR="001E7CA1">
        <w:t xml:space="preserve"> in NR</w:t>
      </w:r>
      <w:r>
        <w:t xml:space="preserve">. </w:t>
      </w:r>
      <w:r w:rsidR="001E7CA1">
        <w:t>This issue needs further consideration and evaluations.</w:t>
      </w:r>
    </w:p>
    <w:p w14:paraId="3DE66141" w14:textId="77777777" w:rsidR="000B48EC" w:rsidRDefault="001E7CA1" w:rsidP="003A0E41">
      <w:r>
        <w:t xml:space="preserve">In LTE, codebooks for 2 and 4 antenna ports has been supported since Rel.8 and 8 port for 1D port layouts since Rel.10. To have a unified codebook in NR, we suggest that those are not inherited to NR, but instead the </w:t>
      </w:r>
      <w:r w:rsidR="009B0918">
        <w:t>scalable</w:t>
      </w:r>
      <w:r w:rsidR="00752879">
        <w:t xml:space="preserve"> </w:t>
      </w:r>
      <w:r>
        <w:t>Rel.</w:t>
      </w:r>
      <w:r w:rsidR="00752879">
        <w:t>13/</w:t>
      </w:r>
      <w:r>
        <w:t xml:space="preserve">14 </w:t>
      </w:r>
      <w:r w:rsidR="00752879">
        <w:t>LTE codebook</w:t>
      </w:r>
      <w:r w:rsidR="00620A26">
        <w:t xml:space="preserve"> </w:t>
      </w:r>
      <w:r w:rsidR="00752879">
        <w:t>is extended to support 2,4 and 8 ports (1D port layouts).</w:t>
      </w:r>
    </w:p>
    <w:p w14:paraId="4A2DBEA6" w14:textId="77777777" w:rsidR="00620A26" w:rsidRDefault="00620A26" w:rsidP="00620A26">
      <w:pPr>
        <w:pStyle w:val="Proposal"/>
      </w:pPr>
      <w:bookmarkStart w:id="4" w:name="_Toc462990434"/>
      <w:r>
        <w:t xml:space="preserve">Extend the </w:t>
      </w:r>
      <w:r w:rsidR="00B86E0C">
        <w:t xml:space="preserve">port combining </w:t>
      </w:r>
      <w:r w:rsidR="00752879">
        <w:t>codebook for NR (as proposed above)</w:t>
      </w:r>
      <w:r>
        <w:t xml:space="preserve"> to 2,4</w:t>
      </w:r>
      <w:r w:rsidR="001E7CA1">
        <w:t>,8</w:t>
      </w:r>
      <w:r>
        <w:t xml:space="preserve"> ports </w:t>
      </w:r>
      <w:r w:rsidR="00B86E0C">
        <w:t xml:space="preserve">as </w:t>
      </w:r>
      <w:r>
        <w:t xml:space="preserve">to </w:t>
      </w:r>
      <w:r w:rsidR="00B86E0C">
        <w:t>provide a complete port combining</w:t>
      </w:r>
      <w:r>
        <w:t xml:space="preserve"> codebook for NR with support of 2,4,8,12,16,20,24,28 and 32 ports with both 1D and 2D port layouts</w:t>
      </w:r>
      <w:bookmarkEnd w:id="4"/>
    </w:p>
    <w:p w14:paraId="57F7BD72" w14:textId="77777777" w:rsidR="00752879" w:rsidRDefault="00B86E0C" w:rsidP="00B86E0C">
      <w:pPr>
        <w:pStyle w:val="Proposal"/>
        <w:numPr>
          <w:ilvl w:val="0"/>
          <w:numId w:val="0"/>
        </w:numPr>
        <w:tabs>
          <w:tab w:val="clear" w:pos="1701"/>
          <w:tab w:val="left" w:pos="0"/>
        </w:tabs>
        <w:rPr>
          <w:b w:val="0"/>
        </w:rPr>
      </w:pPr>
      <w:bookmarkStart w:id="5" w:name="_Toc462990435"/>
      <w:r>
        <w:rPr>
          <w:b w:val="0"/>
        </w:rPr>
        <w:t>Regarding support for more than 32 ports, more studies are needed if this could provide benefits, considering the CSI-RS overhead. If proven beneficial, the port combining codebook should then be further extended.</w:t>
      </w:r>
      <w:bookmarkEnd w:id="5"/>
    </w:p>
    <w:p w14:paraId="562BA1C5" w14:textId="77777777" w:rsidR="00E358A1" w:rsidRPr="00B86E0C" w:rsidRDefault="00B86E0C" w:rsidP="00E358A1">
      <w:pPr>
        <w:pStyle w:val="Proposal"/>
      </w:pPr>
      <w:bookmarkStart w:id="6" w:name="_Toc462990436"/>
      <w:r w:rsidRPr="00B86E0C">
        <w:t xml:space="preserve">Study whether extending the port combining codebook to more than 32 ports (e.g. up to 64) provides benefits, considering </w:t>
      </w:r>
      <w:r w:rsidR="00DB672A">
        <w:t xml:space="preserve">at least </w:t>
      </w:r>
      <w:r w:rsidRPr="00B86E0C">
        <w:t>CSI-RS overhead and UE complexity.</w:t>
      </w:r>
      <w:bookmarkEnd w:id="6"/>
      <w:r w:rsidRPr="00B86E0C">
        <w:t xml:space="preserve"> </w:t>
      </w:r>
    </w:p>
    <w:p w14:paraId="62E9D6DC" w14:textId="77777777" w:rsidR="00C01F33" w:rsidRPr="00CE0424" w:rsidRDefault="00C01F33" w:rsidP="003A0E41">
      <w:pPr>
        <w:pStyle w:val="Heading1"/>
      </w:pPr>
      <w:r w:rsidRPr="00CE0424">
        <w:t>Conclusion</w:t>
      </w:r>
      <w:r w:rsidR="00AE2FEB">
        <w:t>s</w:t>
      </w:r>
    </w:p>
    <w:p w14:paraId="141FB018" w14:textId="77777777" w:rsidR="002864FD"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sidR="004033B5">
        <w:t xml:space="preserve"> (to update list of proposals, place cursor inside list and press F9)</w:t>
      </w:r>
      <w:r w:rsidR="008E065E" w:rsidRPr="00CE0424">
        <w:t>:</w:t>
      </w:r>
      <w:r>
        <w:rPr>
          <w:b/>
          <w:bCs/>
        </w:rPr>
        <w:fldChar w:fldCharType="begin"/>
      </w:r>
      <w:r>
        <w:rPr>
          <w:b/>
          <w:bCs/>
        </w:rPr>
        <w:instrText xml:space="preserve"> TOC \f \n \p " " \t "Proposal,1" </w:instrText>
      </w:r>
      <w:r>
        <w:rPr>
          <w:b/>
          <w:bCs/>
        </w:rPr>
        <w:fldChar w:fldCharType="separate"/>
      </w:r>
    </w:p>
    <w:p w14:paraId="5DF951BF" w14:textId="77777777" w:rsidR="002864FD" w:rsidRPr="002864FD" w:rsidRDefault="002864FD">
      <w:pPr>
        <w:pStyle w:val="TOC1"/>
        <w:rPr>
          <w:rFonts w:asciiTheme="minorHAnsi" w:eastAsiaTheme="minorEastAsia" w:hAnsiTheme="minorHAnsi" w:cstheme="minorBidi"/>
          <w:b w:val="0"/>
          <w:sz w:val="22"/>
          <w:lang w:eastAsia="sv-SE"/>
        </w:rPr>
      </w:pPr>
      <w:r>
        <w:lastRenderedPageBreak/>
        <w:t>Proposal 1</w:t>
      </w:r>
      <w:r w:rsidRPr="002864FD">
        <w:rPr>
          <w:rFonts w:asciiTheme="minorHAnsi" w:eastAsiaTheme="minorEastAsia" w:hAnsiTheme="minorHAnsi" w:cstheme="minorBidi"/>
          <w:b w:val="0"/>
          <w:sz w:val="22"/>
          <w:lang w:eastAsia="sv-SE"/>
        </w:rPr>
        <w:tab/>
      </w:r>
      <w:r>
        <w:t>NR should support at least the same MIMO capabilities and thus CSI feedback port layout capabilities as LTE</w:t>
      </w:r>
    </w:p>
    <w:p w14:paraId="40C1FD9B" w14:textId="77777777" w:rsidR="002864FD" w:rsidRPr="002864FD" w:rsidRDefault="002864FD">
      <w:pPr>
        <w:pStyle w:val="TOC1"/>
        <w:rPr>
          <w:rFonts w:asciiTheme="minorHAnsi" w:eastAsiaTheme="minorEastAsia" w:hAnsiTheme="minorHAnsi" w:cstheme="minorBidi"/>
          <w:b w:val="0"/>
          <w:sz w:val="22"/>
          <w:lang w:eastAsia="sv-SE"/>
        </w:rPr>
      </w:pPr>
      <w:r>
        <w:t>Proposal 2</w:t>
      </w:r>
      <w:r w:rsidRPr="002864FD">
        <w:rPr>
          <w:rFonts w:asciiTheme="minorHAnsi" w:eastAsiaTheme="minorEastAsia" w:hAnsiTheme="minorHAnsi" w:cstheme="minorBidi"/>
          <w:b w:val="0"/>
          <w:sz w:val="22"/>
          <w:lang w:eastAsia="sv-SE"/>
        </w:rPr>
        <w:tab/>
      </w:r>
      <w:r>
        <w:t xml:space="preserve">The Rel.13/14 LTE Class A Configuration 1 scalable codebook with all the port layouts </w:t>
      </w:r>
      <w:bookmarkStart w:id="7" w:name="_GoBack"/>
      <w:bookmarkEnd w:id="7"/>
      <w:r>
        <w:t>supported in LTE is used as the port combining codebook for NR</w:t>
      </w:r>
    </w:p>
    <w:p w14:paraId="6D2AE864" w14:textId="77777777" w:rsidR="002864FD" w:rsidRPr="002864FD" w:rsidRDefault="002864FD">
      <w:pPr>
        <w:pStyle w:val="TOC1"/>
        <w:rPr>
          <w:rFonts w:asciiTheme="minorHAnsi" w:eastAsiaTheme="minorEastAsia" w:hAnsiTheme="minorHAnsi" w:cstheme="minorBidi"/>
          <w:b w:val="0"/>
          <w:sz w:val="22"/>
          <w:lang w:eastAsia="sv-SE"/>
        </w:rPr>
      </w:pPr>
      <w:r>
        <w:t>Proposal 3</w:t>
      </w:r>
      <w:r w:rsidRPr="002864FD">
        <w:rPr>
          <w:rFonts w:asciiTheme="minorHAnsi" w:eastAsiaTheme="minorEastAsia" w:hAnsiTheme="minorHAnsi" w:cstheme="minorBidi"/>
          <w:b w:val="0"/>
          <w:sz w:val="22"/>
          <w:lang w:eastAsia="sv-SE"/>
        </w:rPr>
        <w:tab/>
      </w:r>
      <w:r>
        <w:t>Extend the port combining codebook for NR (as proposed above) to 2,4,8 ports as to provide a complete port combining codebook for NR with support of 2,4,8,12,16,20,24,28 and 32 ports with both 1D and 2D port layouts</w:t>
      </w:r>
    </w:p>
    <w:p w14:paraId="14A3CA13" w14:textId="77777777" w:rsidR="002864FD" w:rsidRPr="002864FD" w:rsidRDefault="002864FD">
      <w:pPr>
        <w:pStyle w:val="TOC1"/>
        <w:rPr>
          <w:rFonts w:asciiTheme="minorHAnsi" w:eastAsiaTheme="minorEastAsia" w:hAnsiTheme="minorHAnsi" w:cstheme="minorBidi"/>
          <w:b w:val="0"/>
          <w:sz w:val="22"/>
          <w:lang w:eastAsia="sv-SE"/>
        </w:rPr>
      </w:pPr>
      <w:r>
        <w:t>Proposal 4</w:t>
      </w:r>
      <w:r w:rsidRPr="002864FD">
        <w:rPr>
          <w:rFonts w:asciiTheme="minorHAnsi" w:eastAsiaTheme="minorEastAsia" w:hAnsiTheme="minorHAnsi" w:cstheme="minorBidi"/>
          <w:b w:val="0"/>
          <w:sz w:val="22"/>
          <w:lang w:eastAsia="sv-SE"/>
        </w:rPr>
        <w:tab/>
      </w:r>
      <w:r>
        <w:t>Study whether extending the port combining codebook to more than 32 ports (e.g. up to 64) provides benefits, considering at least CSI-RS overhead and UE complexity.</w:t>
      </w:r>
    </w:p>
    <w:p w14:paraId="0F70D64D" w14:textId="1EB3420B" w:rsidR="00C01F33" w:rsidRPr="00790B99" w:rsidRDefault="00E5689D" w:rsidP="00E5689D">
      <w:pPr>
        <w:pStyle w:val="BodyText"/>
        <w:rPr>
          <w:b/>
          <w:bCs/>
        </w:rPr>
      </w:pPr>
      <w:r>
        <w:rPr>
          <w:b/>
          <w:bCs/>
        </w:rPr>
        <w:fldChar w:fldCharType="end"/>
      </w:r>
    </w:p>
    <w:p w14:paraId="76DA0A35" w14:textId="77777777" w:rsidR="00F507D1" w:rsidRPr="00CE0424" w:rsidRDefault="00F507D1" w:rsidP="00CE0424">
      <w:pPr>
        <w:pStyle w:val="Heading1"/>
      </w:pPr>
      <w:bookmarkStart w:id="8" w:name="_In-sequence_SDU_delivery"/>
      <w:bookmarkEnd w:id="8"/>
      <w:r w:rsidRPr="00CE0424">
        <w:t>References</w:t>
      </w:r>
    </w:p>
    <w:p w14:paraId="25C682F9" w14:textId="6766B3EC" w:rsidR="003A7EF3" w:rsidRPr="002864FD" w:rsidRDefault="002864FD" w:rsidP="002864FD">
      <w:pPr>
        <w:pStyle w:val="Reference"/>
      </w:pPr>
      <w:r w:rsidRPr="002864FD">
        <w:t xml:space="preserve">R1-157208, </w:t>
      </w:r>
      <w:r>
        <w:t>“</w:t>
      </w:r>
      <w:r>
        <w:rPr>
          <w:rFonts w:ascii="Arial" w:hAnsi="Arial" w:cs="Arial"/>
          <w:color w:val="000000"/>
          <w:sz w:val="18"/>
          <w:szCs w:val="18"/>
        </w:rPr>
        <w:t xml:space="preserve">Class A Codebook Design for Rank 1-2” </w:t>
      </w:r>
      <w:r w:rsidRPr="002864FD">
        <w:t>Ericsson</w:t>
      </w:r>
    </w:p>
    <w:sectPr w:rsidR="003A7EF3" w:rsidRPr="002864FD"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2693" w14:textId="77777777" w:rsidR="008D7767" w:rsidRDefault="008D7767">
      <w:r>
        <w:separator/>
      </w:r>
    </w:p>
  </w:endnote>
  <w:endnote w:type="continuationSeparator" w:id="0">
    <w:p w14:paraId="632A7330" w14:textId="77777777" w:rsidR="008D7767" w:rsidRDefault="008D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ADAF" w14:textId="5E88DE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2F0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F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3E64B" w14:textId="77777777" w:rsidR="008D7767" w:rsidRDefault="008D7767">
      <w:r>
        <w:separator/>
      </w:r>
    </w:p>
  </w:footnote>
  <w:footnote w:type="continuationSeparator" w:id="0">
    <w:p w14:paraId="3D02B67F" w14:textId="77777777" w:rsidR="008D7767" w:rsidRDefault="008D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0324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4E74E5"/>
    <w:multiLevelType w:val="hybridMultilevel"/>
    <w:tmpl w:val="68F4C6B0"/>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71F50"/>
    <w:multiLevelType w:val="hybridMultilevel"/>
    <w:tmpl w:val="DE2858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0C6C68"/>
    <w:multiLevelType w:val="hybridMultilevel"/>
    <w:tmpl w:val="535E8D6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921754C"/>
    <w:multiLevelType w:val="hybridMultilevel"/>
    <w:tmpl w:val="831676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9"/>
  </w:num>
  <w:num w:numId="15">
    <w:abstractNumId w:val="6"/>
  </w:num>
  <w:num w:numId="16">
    <w:abstractNumId w:val="19"/>
  </w:num>
  <w:num w:numId="17">
    <w:abstractNumId w:val="13"/>
  </w:num>
  <w:num w:numId="18">
    <w:abstractNumId w:val="17"/>
  </w:num>
  <w:num w:numId="19">
    <w:abstractNumId w:val="18"/>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7A3"/>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164"/>
    <w:rsid w:val="000855EB"/>
    <w:rsid w:val="00085B52"/>
    <w:rsid w:val="000866F2"/>
    <w:rsid w:val="0009009F"/>
    <w:rsid w:val="00090B88"/>
    <w:rsid w:val="00091557"/>
    <w:rsid w:val="000924C1"/>
    <w:rsid w:val="000924F0"/>
    <w:rsid w:val="00093474"/>
    <w:rsid w:val="0009510F"/>
    <w:rsid w:val="000A1B7B"/>
    <w:rsid w:val="000A56F2"/>
    <w:rsid w:val="000B25C2"/>
    <w:rsid w:val="000B2719"/>
    <w:rsid w:val="000B3A8F"/>
    <w:rsid w:val="000B48EC"/>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5EC"/>
    <w:rsid w:val="001710DF"/>
    <w:rsid w:val="00173A8E"/>
    <w:rsid w:val="0018143F"/>
    <w:rsid w:val="00190AC1"/>
    <w:rsid w:val="0019341A"/>
    <w:rsid w:val="00197DF9"/>
    <w:rsid w:val="001A1987"/>
    <w:rsid w:val="001A2564"/>
    <w:rsid w:val="001A60D4"/>
    <w:rsid w:val="001A6173"/>
    <w:rsid w:val="001A6CBA"/>
    <w:rsid w:val="001B0D97"/>
    <w:rsid w:val="001B5A5D"/>
    <w:rsid w:val="001C1CE5"/>
    <w:rsid w:val="001C3D2A"/>
    <w:rsid w:val="001D51BA"/>
    <w:rsid w:val="001D6342"/>
    <w:rsid w:val="001D6D53"/>
    <w:rsid w:val="001E2560"/>
    <w:rsid w:val="001E58E2"/>
    <w:rsid w:val="001E7AED"/>
    <w:rsid w:val="001E7CA1"/>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674"/>
    <w:rsid w:val="002805F5"/>
    <w:rsid w:val="00280751"/>
    <w:rsid w:val="0028280A"/>
    <w:rsid w:val="002864FD"/>
    <w:rsid w:val="00286ACD"/>
    <w:rsid w:val="00287838"/>
    <w:rsid w:val="002907B5"/>
    <w:rsid w:val="00292EB7"/>
    <w:rsid w:val="00296227"/>
    <w:rsid w:val="00296F44"/>
    <w:rsid w:val="0029777D"/>
    <w:rsid w:val="002A055E"/>
    <w:rsid w:val="002A1D4E"/>
    <w:rsid w:val="002A2869"/>
    <w:rsid w:val="002B24D6"/>
    <w:rsid w:val="002B3811"/>
    <w:rsid w:val="002C41E6"/>
    <w:rsid w:val="002D071A"/>
    <w:rsid w:val="002D34B2"/>
    <w:rsid w:val="002D7637"/>
    <w:rsid w:val="002E17F2"/>
    <w:rsid w:val="002E7CAE"/>
    <w:rsid w:val="002F2771"/>
    <w:rsid w:val="002F37A9"/>
    <w:rsid w:val="002F5BA3"/>
    <w:rsid w:val="002F6288"/>
    <w:rsid w:val="00301CE6"/>
    <w:rsid w:val="0030256B"/>
    <w:rsid w:val="0030501F"/>
    <w:rsid w:val="00307BA1"/>
    <w:rsid w:val="00311702"/>
    <w:rsid w:val="00311E82"/>
    <w:rsid w:val="00313FD6"/>
    <w:rsid w:val="003143BD"/>
    <w:rsid w:val="003203ED"/>
    <w:rsid w:val="003204F7"/>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6725"/>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2E14"/>
    <w:rsid w:val="004669E2"/>
    <w:rsid w:val="00470C31"/>
    <w:rsid w:val="004734D0"/>
    <w:rsid w:val="0047556B"/>
    <w:rsid w:val="00477768"/>
    <w:rsid w:val="00492BC5"/>
    <w:rsid w:val="004964F1"/>
    <w:rsid w:val="004A16BC"/>
    <w:rsid w:val="004A2B94"/>
    <w:rsid w:val="004B7C0C"/>
    <w:rsid w:val="004C17C3"/>
    <w:rsid w:val="004C3898"/>
    <w:rsid w:val="004D1EE3"/>
    <w:rsid w:val="004D36B1"/>
    <w:rsid w:val="004D7EBD"/>
    <w:rsid w:val="004E2680"/>
    <w:rsid w:val="004E28F9"/>
    <w:rsid w:val="004E2966"/>
    <w:rsid w:val="004E462E"/>
    <w:rsid w:val="004E56DC"/>
    <w:rsid w:val="004E76F4"/>
    <w:rsid w:val="004F0B4E"/>
    <w:rsid w:val="004F0B6C"/>
    <w:rsid w:val="004F2078"/>
    <w:rsid w:val="004F4DA3"/>
    <w:rsid w:val="00506557"/>
    <w:rsid w:val="0050677A"/>
    <w:rsid w:val="005108D8"/>
    <w:rsid w:val="005116F9"/>
    <w:rsid w:val="0051195F"/>
    <w:rsid w:val="005153A7"/>
    <w:rsid w:val="005219CF"/>
    <w:rsid w:val="00522AAC"/>
    <w:rsid w:val="00534B59"/>
    <w:rsid w:val="00536759"/>
    <w:rsid w:val="00537C62"/>
    <w:rsid w:val="00546970"/>
    <w:rsid w:val="00554E19"/>
    <w:rsid w:val="0056121F"/>
    <w:rsid w:val="00572505"/>
    <w:rsid w:val="00575DA6"/>
    <w:rsid w:val="00582809"/>
    <w:rsid w:val="0058798C"/>
    <w:rsid w:val="005900FA"/>
    <w:rsid w:val="005935A4"/>
    <w:rsid w:val="005948C2"/>
    <w:rsid w:val="00595DCA"/>
    <w:rsid w:val="0059779B"/>
    <w:rsid w:val="00597F99"/>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2F5"/>
    <w:rsid w:val="00620A26"/>
    <w:rsid w:val="00620A71"/>
    <w:rsid w:val="00620D80"/>
    <w:rsid w:val="00621BEB"/>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B5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D38"/>
    <w:rsid w:val="006A5E28"/>
    <w:rsid w:val="006A6585"/>
    <w:rsid w:val="006A697B"/>
    <w:rsid w:val="006A7AFF"/>
    <w:rsid w:val="006B1816"/>
    <w:rsid w:val="006B2099"/>
    <w:rsid w:val="006B50CF"/>
    <w:rsid w:val="006C03B8"/>
    <w:rsid w:val="006C4D47"/>
    <w:rsid w:val="006C5EC9"/>
    <w:rsid w:val="006C6059"/>
    <w:rsid w:val="006C7522"/>
    <w:rsid w:val="006D2F0A"/>
    <w:rsid w:val="006D6F08"/>
    <w:rsid w:val="006E062C"/>
    <w:rsid w:val="006E1514"/>
    <w:rsid w:val="006E28B7"/>
    <w:rsid w:val="006E3310"/>
    <w:rsid w:val="006E468D"/>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879"/>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33B"/>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C97"/>
    <w:rsid w:val="008B51A0"/>
    <w:rsid w:val="008B592A"/>
    <w:rsid w:val="008B7B5C"/>
    <w:rsid w:val="008C0C99"/>
    <w:rsid w:val="008C2017"/>
    <w:rsid w:val="008C4958"/>
    <w:rsid w:val="008C4BAA"/>
    <w:rsid w:val="008C6AE8"/>
    <w:rsid w:val="008C7573"/>
    <w:rsid w:val="008D34F1"/>
    <w:rsid w:val="008D39D8"/>
    <w:rsid w:val="008D6D1A"/>
    <w:rsid w:val="008D7767"/>
    <w:rsid w:val="008E065E"/>
    <w:rsid w:val="008E0927"/>
    <w:rsid w:val="008E1909"/>
    <w:rsid w:val="008E581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3EC"/>
    <w:rsid w:val="009368F3"/>
    <w:rsid w:val="00941636"/>
    <w:rsid w:val="00943742"/>
    <w:rsid w:val="00943833"/>
    <w:rsid w:val="00945C05"/>
    <w:rsid w:val="00946945"/>
    <w:rsid w:val="00947713"/>
    <w:rsid w:val="00950DE7"/>
    <w:rsid w:val="00952A24"/>
    <w:rsid w:val="00953920"/>
    <w:rsid w:val="00953D47"/>
    <w:rsid w:val="0095681E"/>
    <w:rsid w:val="009572D4"/>
    <w:rsid w:val="00961921"/>
    <w:rsid w:val="0096430A"/>
    <w:rsid w:val="00964A8D"/>
    <w:rsid w:val="0096554B"/>
    <w:rsid w:val="0096584A"/>
    <w:rsid w:val="00971F08"/>
    <w:rsid w:val="0097603D"/>
    <w:rsid w:val="00976949"/>
    <w:rsid w:val="00980477"/>
    <w:rsid w:val="00985253"/>
    <w:rsid w:val="009853B3"/>
    <w:rsid w:val="00990630"/>
    <w:rsid w:val="00991761"/>
    <w:rsid w:val="00994DCA"/>
    <w:rsid w:val="00995B81"/>
    <w:rsid w:val="009960EC"/>
    <w:rsid w:val="009970DD"/>
    <w:rsid w:val="00997B17"/>
    <w:rsid w:val="009A0FBA"/>
    <w:rsid w:val="009A1601"/>
    <w:rsid w:val="009A462D"/>
    <w:rsid w:val="009A5CBA"/>
    <w:rsid w:val="009B0918"/>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55C"/>
    <w:rsid w:val="00AB4AB8"/>
    <w:rsid w:val="00AB655E"/>
    <w:rsid w:val="00AC007F"/>
    <w:rsid w:val="00AC2ECD"/>
    <w:rsid w:val="00AC3119"/>
    <w:rsid w:val="00AC49FB"/>
    <w:rsid w:val="00AC5A10"/>
    <w:rsid w:val="00AD0AA3"/>
    <w:rsid w:val="00AD3F94"/>
    <w:rsid w:val="00AD46E7"/>
    <w:rsid w:val="00AD4A5A"/>
    <w:rsid w:val="00AE27AC"/>
    <w:rsid w:val="00AE2FEB"/>
    <w:rsid w:val="00AE40E0"/>
    <w:rsid w:val="00AE4DBA"/>
    <w:rsid w:val="00AE4F07"/>
    <w:rsid w:val="00AE5839"/>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2B4"/>
    <w:rsid w:val="00B81A6C"/>
    <w:rsid w:val="00B85DE5"/>
    <w:rsid w:val="00B86E0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5674"/>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3A0"/>
    <w:rsid w:val="00CB7170"/>
    <w:rsid w:val="00CC040E"/>
    <w:rsid w:val="00CC111F"/>
    <w:rsid w:val="00CC2011"/>
    <w:rsid w:val="00CC3EA0"/>
    <w:rsid w:val="00CC7B45"/>
    <w:rsid w:val="00CD1188"/>
    <w:rsid w:val="00CD2ED1"/>
    <w:rsid w:val="00CD337B"/>
    <w:rsid w:val="00CE0424"/>
    <w:rsid w:val="00CE4DB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F6"/>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9ED"/>
    <w:rsid w:val="00DA5417"/>
    <w:rsid w:val="00DA56E8"/>
    <w:rsid w:val="00DB0A9F"/>
    <w:rsid w:val="00DB307F"/>
    <w:rsid w:val="00DB377D"/>
    <w:rsid w:val="00DB672A"/>
    <w:rsid w:val="00DC2D36"/>
    <w:rsid w:val="00DC53EF"/>
    <w:rsid w:val="00DE3346"/>
    <w:rsid w:val="00DE5608"/>
    <w:rsid w:val="00DE58D0"/>
    <w:rsid w:val="00DE654F"/>
    <w:rsid w:val="00DF0B6E"/>
    <w:rsid w:val="00DF15E0"/>
    <w:rsid w:val="00DF37A0"/>
    <w:rsid w:val="00E035A7"/>
    <w:rsid w:val="00E110E7"/>
    <w:rsid w:val="00E11B20"/>
    <w:rsid w:val="00E17FA2"/>
    <w:rsid w:val="00E22330"/>
    <w:rsid w:val="00E30B5A"/>
    <w:rsid w:val="00E3123D"/>
    <w:rsid w:val="00E31461"/>
    <w:rsid w:val="00E31D43"/>
    <w:rsid w:val="00E32608"/>
    <w:rsid w:val="00E34188"/>
    <w:rsid w:val="00E34B6E"/>
    <w:rsid w:val="00E35559"/>
    <w:rsid w:val="00E358A1"/>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72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5E8C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E334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E33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E334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E3346"/>
    <w:pPr>
      <w:numPr>
        <w:ilvl w:val="2"/>
      </w:numPr>
      <w:spacing w:before="120"/>
      <w:outlineLvl w:val="2"/>
    </w:pPr>
    <w:rPr>
      <w:sz w:val="24"/>
      <w:szCs w:val="28"/>
    </w:rPr>
  </w:style>
  <w:style w:type="paragraph" w:styleId="Heading4">
    <w:name w:val="heading 4"/>
    <w:basedOn w:val="Heading3"/>
    <w:next w:val="Normal"/>
    <w:qFormat/>
    <w:rsid w:val="00DE3346"/>
    <w:pPr>
      <w:numPr>
        <w:ilvl w:val="3"/>
      </w:numPr>
      <w:outlineLvl w:val="3"/>
    </w:pPr>
    <w:rPr>
      <w:szCs w:val="24"/>
    </w:rPr>
  </w:style>
  <w:style w:type="paragraph" w:styleId="Heading5">
    <w:name w:val="heading 5"/>
    <w:basedOn w:val="Heading4"/>
    <w:next w:val="Normal"/>
    <w:qFormat/>
    <w:rsid w:val="00DE3346"/>
    <w:pPr>
      <w:numPr>
        <w:ilvl w:val="4"/>
      </w:numPr>
      <w:outlineLvl w:val="4"/>
    </w:pPr>
    <w:rPr>
      <w:sz w:val="22"/>
      <w:szCs w:val="22"/>
    </w:rPr>
  </w:style>
  <w:style w:type="paragraph" w:styleId="Heading6">
    <w:name w:val="heading 6"/>
    <w:basedOn w:val="Normal"/>
    <w:next w:val="Normal"/>
    <w:qFormat/>
    <w:rsid w:val="00DE3346"/>
    <w:pPr>
      <w:keepNext/>
      <w:keepLines/>
      <w:numPr>
        <w:ilvl w:val="5"/>
        <w:numId w:val="1"/>
      </w:numPr>
      <w:spacing w:before="120"/>
      <w:outlineLvl w:val="5"/>
    </w:pPr>
    <w:rPr>
      <w:rFonts w:cs="Arial"/>
    </w:rPr>
  </w:style>
  <w:style w:type="paragraph" w:styleId="Heading7">
    <w:name w:val="heading 7"/>
    <w:basedOn w:val="Normal"/>
    <w:next w:val="Normal"/>
    <w:qFormat/>
    <w:rsid w:val="00DE3346"/>
    <w:pPr>
      <w:keepNext/>
      <w:keepLines/>
      <w:numPr>
        <w:ilvl w:val="6"/>
        <w:numId w:val="1"/>
      </w:numPr>
      <w:spacing w:before="120"/>
      <w:outlineLvl w:val="6"/>
    </w:pPr>
    <w:rPr>
      <w:rFonts w:cs="Arial"/>
    </w:rPr>
  </w:style>
  <w:style w:type="paragraph" w:styleId="Heading8">
    <w:name w:val="heading 8"/>
    <w:basedOn w:val="Heading7"/>
    <w:next w:val="Normal"/>
    <w:qFormat/>
    <w:rsid w:val="00DE3346"/>
    <w:pPr>
      <w:numPr>
        <w:ilvl w:val="7"/>
      </w:numPr>
      <w:outlineLvl w:val="7"/>
    </w:pPr>
  </w:style>
  <w:style w:type="paragraph" w:styleId="Heading9">
    <w:name w:val="heading 9"/>
    <w:basedOn w:val="Heading8"/>
    <w:next w:val="Normal"/>
    <w:qFormat/>
    <w:rsid w:val="00DE33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E3346"/>
    <w:pPr>
      <w:spacing w:before="180"/>
      <w:ind w:left="2693" w:hanging="2693"/>
    </w:pPr>
    <w:rPr>
      <w:b w:val="0"/>
      <w:bCs/>
    </w:rPr>
  </w:style>
  <w:style w:type="paragraph" w:styleId="TOC1">
    <w:name w:val="toc 1"/>
    <w:aliases w:val="Observation TOC2"/>
    <w:uiPriority w:val="39"/>
    <w:rsid w:val="00DE334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E3346"/>
    <w:pPr>
      <w:keepNext/>
      <w:keepLines/>
      <w:spacing w:before="180"/>
      <w:jc w:val="center"/>
    </w:pPr>
  </w:style>
  <w:style w:type="paragraph" w:styleId="Caption">
    <w:name w:val="caption"/>
    <w:basedOn w:val="Normal"/>
    <w:next w:val="Normal"/>
    <w:qFormat/>
    <w:rsid w:val="00DE3346"/>
    <w:pPr>
      <w:spacing w:after="240"/>
      <w:jc w:val="center"/>
    </w:pPr>
    <w:rPr>
      <w:b/>
      <w:bCs/>
    </w:rPr>
  </w:style>
  <w:style w:type="paragraph" w:styleId="TOC5">
    <w:name w:val="toc 5"/>
    <w:aliases w:val="Observation TOC"/>
    <w:basedOn w:val="TOC4"/>
    <w:semiHidden/>
    <w:rsid w:val="00DE3346"/>
    <w:pPr>
      <w:tabs>
        <w:tab w:val="right" w:pos="1701"/>
      </w:tabs>
      <w:ind w:left="1701" w:hanging="1701"/>
    </w:pPr>
  </w:style>
  <w:style w:type="paragraph" w:styleId="TOC4">
    <w:name w:val="toc 4"/>
    <w:basedOn w:val="TOC3"/>
    <w:semiHidden/>
    <w:rsid w:val="00DE3346"/>
    <w:pPr>
      <w:ind w:left="1418" w:hanging="1418"/>
    </w:pPr>
  </w:style>
  <w:style w:type="paragraph" w:styleId="TOC3">
    <w:name w:val="toc 3"/>
    <w:basedOn w:val="TOC2"/>
    <w:semiHidden/>
    <w:rsid w:val="00DE3346"/>
    <w:pPr>
      <w:ind w:left="1134" w:hanging="1134"/>
    </w:pPr>
  </w:style>
  <w:style w:type="paragraph" w:styleId="TOC2">
    <w:name w:val="toc 2"/>
    <w:basedOn w:val="TOC1"/>
    <w:semiHidden/>
    <w:rsid w:val="00DE3346"/>
    <w:pPr>
      <w:keepNext w:val="0"/>
      <w:spacing w:before="0"/>
      <w:ind w:left="851" w:hanging="851"/>
    </w:pPr>
    <w:rPr>
      <w:szCs w:val="20"/>
    </w:rPr>
  </w:style>
  <w:style w:type="paragraph" w:styleId="Index2">
    <w:name w:val="index 2"/>
    <w:basedOn w:val="Index1"/>
    <w:semiHidden/>
    <w:rsid w:val="00DE3346"/>
    <w:pPr>
      <w:ind w:left="284"/>
    </w:pPr>
  </w:style>
  <w:style w:type="paragraph" w:styleId="Index1">
    <w:name w:val="index 1"/>
    <w:basedOn w:val="Normal"/>
    <w:semiHidden/>
    <w:rsid w:val="00DE3346"/>
    <w:pPr>
      <w:keepLines/>
      <w:spacing w:after="0"/>
    </w:pPr>
  </w:style>
  <w:style w:type="paragraph" w:styleId="DocumentMap">
    <w:name w:val="Document Map"/>
    <w:basedOn w:val="Normal"/>
    <w:semiHidden/>
    <w:rsid w:val="00DE3346"/>
    <w:pPr>
      <w:shd w:val="clear" w:color="auto" w:fill="000080"/>
    </w:pPr>
    <w:rPr>
      <w:rFonts w:ascii="Tahoma" w:hAnsi="Tahoma" w:cs="Tahoma"/>
    </w:rPr>
  </w:style>
  <w:style w:type="paragraph" w:styleId="ListNumber2">
    <w:name w:val="List Number 2"/>
    <w:basedOn w:val="ListNumber"/>
    <w:rsid w:val="00DE3346"/>
    <w:pPr>
      <w:ind w:left="851"/>
    </w:pPr>
  </w:style>
  <w:style w:type="paragraph" w:styleId="ListNumber">
    <w:name w:val="List Number"/>
    <w:basedOn w:val="List"/>
    <w:rsid w:val="00DE3346"/>
  </w:style>
  <w:style w:type="paragraph" w:styleId="List">
    <w:name w:val="List"/>
    <w:basedOn w:val="Normal"/>
    <w:rsid w:val="00DE3346"/>
    <w:pPr>
      <w:ind w:left="568" w:hanging="284"/>
    </w:pPr>
  </w:style>
  <w:style w:type="paragraph" w:styleId="Header">
    <w:name w:val="header"/>
    <w:rsid w:val="00DE334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3346"/>
    <w:rPr>
      <w:b/>
      <w:bCs/>
      <w:position w:val="6"/>
      <w:sz w:val="16"/>
      <w:szCs w:val="16"/>
    </w:rPr>
  </w:style>
  <w:style w:type="paragraph" w:styleId="FootnoteText">
    <w:name w:val="footnote text"/>
    <w:basedOn w:val="Normal"/>
    <w:semiHidden/>
    <w:rsid w:val="00DE3346"/>
    <w:pPr>
      <w:keepLines/>
      <w:spacing w:after="0"/>
      <w:ind w:left="454" w:hanging="454"/>
    </w:pPr>
    <w:rPr>
      <w:sz w:val="16"/>
      <w:szCs w:val="16"/>
    </w:rPr>
  </w:style>
  <w:style w:type="paragraph" w:customStyle="1" w:styleId="3GPPHeader">
    <w:name w:val="3GPP_Header"/>
    <w:basedOn w:val="Normal"/>
    <w:qFormat/>
    <w:rsid w:val="00DE3346"/>
    <w:pPr>
      <w:tabs>
        <w:tab w:val="left" w:pos="1800"/>
        <w:tab w:val="right" w:pos="9360"/>
      </w:tabs>
      <w:spacing w:after="0"/>
    </w:pPr>
    <w:rPr>
      <w:rFonts w:ascii="Arial" w:hAnsi="Arial"/>
      <w:b/>
    </w:rPr>
  </w:style>
  <w:style w:type="paragraph" w:styleId="TOC9">
    <w:name w:val="toc 9"/>
    <w:basedOn w:val="TOC8"/>
    <w:semiHidden/>
    <w:rsid w:val="00DE3346"/>
    <w:pPr>
      <w:ind w:left="1418" w:hanging="1418"/>
    </w:pPr>
  </w:style>
  <w:style w:type="paragraph" w:styleId="TOC6">
    <w:name w:val="toc 6"/>
    <w:basedOn w:val="TOC5"/>
    <w:next w:val="Normal"/>
    <w:semiHidden/>
    <w:rsid w:val="00DE3346"/>
    <w:pPr>
      <w:ind w:left="1985" w:hanging="1985"/>
    </w:pPr>
  </w:style>
  <w:style w:type="paragraph" w:styleId="TOC7">
    <w:name w:val="toc 7"/>
    <w:basedOn w:val="TOC6"/>
    <w:next w:val="Normal"/>
    <w:semiHidden/>
    <w:rsid w:val="00DE3346"/>
    <w:pPr>
      <w:ind w:left="2268" w:hanging="2268"/>
    </w:pPr>
  </w:style>
  <w:style w:type="paragraph" w:styleId="ListBullet2">
    <w:name w:val="List Bullet 2"/>
    <w:basedOn w:val="ListBullet"/>
    <w:rsid w:val="00DE3346"/>
    <w:pPr>
      <w:numPr>
        <w:numId w:val="6"/>
      </w:numPr>
    </w:pPr>
  </w:style>
  <w:style w:type="paragraph" w:styleId="ListBullet">
    <w:name w:val="List Bullet"/>
    <w:basedOn w:val="BodyText"/>
    <w:rsid w:val="00DE3346"/>
    <w:pPr>
      <w:numPr>
        <w:numId w:val="5"/>
      </w:numPr>
    </w:pPr>
  </w:style>
  <w:style w:type="paragraph" w:styleId="ListBullet3">
    <w:name w:val="List Bullet 3"/>
    <w:basedOn w:val="ListBullet2"/>
    <w:rsid w:val="00DE3346"/>
    <w:pPr>
      <w:numPr>
        <w:numId w:val="7"/>
      </w:numPr>
    </w:pPr>
  </w:style>
  <w:style w:type="paragraph" w:customStyle="1" w:styleId="EQ">
    <w:name w:val="EQ"/>
    <w:basedOn w:val="Normal"/>
    <w:next w:val="Normal"/>
    <w:rsid w:val="00DE3346"/>
    <w:pPr>
      <w:keepLines/>
      <w:tabs>
        <w:tab w:val="center" w:pos="4536"/>
        <w:tab w:val="right" w:pos="9072"/>
      </w:tabs>
      <w:spacing w:after="180"/>
      <w:jc w:val="left"/>
    </w:pPr>
    <w:rPr>
      <w:noProof/>
      <w:lang w:eastAsia="en-US"/>
    </w:rPr>
  </w:style>
  <w:style w:type="paragraph" w:styleId="List2">
    <w:name w:val="List 2"/>
    <w:basedOn w:val="List"/>
    <w:rsid w:val="00DE3346"/>
    <w:pPr>
      <w:ind w:left="851"/>
    </w:pPr>
  </w:style>
  <w:style w:type="paragraph" w:styleId="List3">
    <w:name w:val="List 3"/>
    <w:basedOn w:val="List2"/>
    <w:rsid w:val="00DE3346"/>
    <w:pPr>
      <w:ind w:left="1135"/>
    </w:pPr>
  </w:style>
  <w:style w:type="paragraph" w:styleId="List4">
    <w:name w:val="List 4"/>
    <w:basedOn w:val="List3"/>
    <w:rsid w:val="00DE3346"/>
    <w:pPr>
      <w:ind w:left="1418"/>
    </w:pPr>
  </w:style>
  <w:style w:type="paragraph" w:styleId="List5">
    <w:name w:val="List 5"/>
    <w:basedOn w:val="List4"/>
    <w:rsid w:val="00DE3346"/>
    <w:pPr>
      <w:ind w:left="1702"/>
    </w:pPr>
  </w:style>
  <w:style w:type="paragraph" w:customStyle="1" w:styleId="EditorsNote">
    <w:name w:val="Editor's Note"/>
    <w:basedOn w:val="Normal"/>
    <w:rsid w:val="00DE3346"/>
    <w:pPr>
      <w:keepLines/>
      <w:spacing w:after="180"/>
      <w:ind w:left="1135" w:hanging="851"/>
      <w:jc w:val="left"/>
    </w:pPr>
    <w:rPr>
      <w:color w:val="FF0000"/>
      <w:lang w:eastAsia="en-US"/>
    </w:rPr>
  </w:style>
  <w:style w:type="paragraph" w:styleId="ListBullet4">
    <w:name w:val="List Bullet 4"/>
    <w:basedOn w:val="ListBullet3"/>
    <w:rsid w:val="00DE3346"/>
    <w:pPr>
      <w:numPr>
        <w:numId w:val="8"/>
      </w:numPr>
    </w:pPr>
  </w:style>
  <w:style w:type="paragraph" w:styleId="ListBullet5">
    <w:name w:val="List Bullet 5"/>
    <w:basedOn w:val="ListBullet4"/>
    <w:rsid w:val="00DE3346"/>
    <w:pPr>
      <w:numPr>
        <w:numId w:val="4"/>
      </w:numPr>
    </w:pPr>
  </w:style>
  <w:style w:type="paragraph" w:styleId="Footer">
    <w:name w:val="footer"/>
    <w:basedOn w:val="Header"/>
    <w:semiHidden/>
    <w:rsid w:val="00DE3346"/>
    <w:pPr>
      <w:jc w:val="center"/>
    </w:pPr>
    <w:rPr>
      <w:i/>
      <w:iCs/>
    </w:rPr>
  </w:style>
  <w:style w:type="paragraph" w:customStyle="1" w:styleId="Reference">
    <w:name w:val="Reference"/>
    <w:basedOn w:val="Normal"/>
    <w:qFormat/>
    <w:rsid w:val="00DE3346"/>
    <w:pPr>
      <w:numPr>
        <w:numId w:val="2"/>
      </w:numPr>
    </w:pPr>
  </w:style>
  <w:style w:type="paragraph" w:styleId="BalloonText">
    <w:name w:val="Balloon Text"/>
    <w:basedOn w:val="Normal"/>
    <w:semiHidden/>
    <w:rsid w:val="00DE3346"/>
    <w:rPr>
      <w:rFonts w:ascii="Tahoma" w:hAnsi="Tahoma" w:cs="Tahoma"/>
      <w:sz w:val="16"/>
      <w:szCs w:val="16"/>
    </w:rPr>
  </w:style>
  <w:style w:type="character" w:styleId="PageNumber">
    <w:name w:val="page number"/>
    <w:basedOn w:val="DefaultParagraphFont"/>
    <w:semiHidden/>
    <w:rsid w:val="00DE3346"/>
  </w:style>
  <w:style w:type="paragraph" w:styleId="BodyText">
    <w:name w:val="Body Text"/>
    <w:basedOn w:val="Normal"/>
    <w:link w:val="BodyTextChar"/>
    <w:qFormat/>
    <w:rsid w:val="00DE3346"/>
  </w:style>
  <w:style w:type="character" w:styleId="Hyperlink">
    <w:name w:val="Hyperlink"/>
    <w:uiPriority w:val="99"/>
    <w:rsid w:val="00DE3346"/>
    <w:rPr>
      <w:color w:val="0000FF"/>
      <w:u w:val="single"/>
      <w:lang w:val="en-GB"/>
    </w:rPr>
  </w:style>
  <w:style w:type="character" w:styleId="FollowedHyperlink">
    <w:name w:val="FollowedHyperlink"/>
    <w:semiHidden/>
    <w:rsid w:val="00DE3346"/>
    <w:rPr>
      <w:color w:val="FF0000"/>
      <w:u w:val="single"/>
    </w:rPr>
  </w:style>
  <w:style w:type="character" w:styleId="CommentReference">
    <w:name w:val="annotation reference"/>
    <w:semiHidden/>
    <w:rsid w:val="00DE3346"/>
    <w:rPr>
      <w:sz w:val="16"/>
      <w:szCs w:val="16"/>
    </w:rPr>
  </w:style>
  <w:style w:type="paragraph" w:styleId="CommentText">
    <w:name w:val="annotation text"/>
    <w:basedOn w:val="Normal"/>
    <w:semiHidden/>
    <w:rsid w:val="00DE3346"/>
  </w:style>
  <w:style w:type="paragraph" w:styleId="CommentSubject">
    <w:name w:val="annotation subject"/>
    <w:basedOn w:val="CommentText"/>
    <w:next w:val="CommentText"/>
    <w:semiHidden/>
    <w:rsid w:val="00DE3346"/>
    <w:rPr>
      <w:b/>
      <w:bCs/>
    </w:rPr>
  </w:style>
  <w:style w:type="character" w:customStyle="1" w:styleId="Heading1Char">
    <w:name w:val="Heading 1 Char"/>
    <w:link w:val="Heading1"/>
    <w:rsid w:val="00DE3346"/>
    <w:rPr>
      <w:rFonts w:ascii="Arial" w:hAnsi="Arial" w:cs="Arial"/>
      <w:sz w:val="32"/>
      <w:szCs w:val="36"/>
      <w:lang w:val="en-GB" w:eastAsia="zh-CN"/>
    </w:rPr>
  </w:style>
  <w:style w:type="paragraph" w:customStyle="1" w:styleId="B1">
    <w:name w:val="B1"/>
    <w:basedOn w:val="List"/>
    <w:rsid w:val="00DE3346"/>
    <w:pPr>
      <w:spacing w:after="180"/>
      <w:jc w:val="left"/>
    </w:pPr>
    <w:rPr>
      <w:lang w:eastAsia="en-US"/>
    </w:rPr>
  </w:style>
  <w:style w:type="paragraph" w:customStyle="1" w:styleId="B2">
    <w:name w:val="B2"/>
    <w:basedOn w:val="List2"/>
    <w:rsid w:val="00DE3346"/>
    <w:pPr>
      <w:spacing w:after="180"/>
      <w:jc w:val="left"/>
    </w:pPr>
    <w:rPr>
      <w:lang w:eastAsia="en-US"/>
    </w:rPr>
  </w:style>
  <w:style w:type="paragraph" w:customStyle="1" w:styleId="B3">
    <w:name w:val="B3"/>
    <w:basedOn w:val="List3"/>
    <w:rsid w:val="00DE3346"/>
    <w:pPr>
      <w:spacing w:after="180"/>
      <w:jc w:val="left"/>
    </w:pPr>
    <w:rPr>
      <w:lang w:eastAsia="en-US"/>
    </w:rPr>
  </w:style>
  <w:style w:type="paragraph" w:customStyle="1" w:styleId="B4">
    <w:name w:val="B4"/>
    <w:basedOn w:val="List4"/>
    <w:rsid w:val="00DE3346"/>
    <w:pPr>
      <w:spacing w:after="180"/>
      <w:jc w:val="left"/>
    </w:pPr>
    <w:rPr>
      <w:lang w:eastAsia="en-US"/>
    </w:rPr>
  </w:style>
  <w:style w:type="paragraph" w:customStyle="1" w:styleId="Proposal">
    <w:name w:val="Proposal"/>
    <w:basedOn w:val="Normal"/>
    <w:qFormat/>
    <w:rsid w:val="00DE3346"/>
    <w:pPr>
      <w:numPr>
        <w:numId w:val="3"/>
      </w:numPr>
      <w:tabs>
        <w:tab w:val="clear" w:pos="1304"/>
        <w:tab w:val="left" w:pos="1701"/>
      </w:tabs>
      <w:ind w:left="1701" w:hanging="1701"/>
    </w:pPr>
    <w:rPr>
      <w:b/>
      <w:bCs/>
    </w:rPr>
  </w:style>
  <w:style w:type="character" w:customStyle="1" w:styleId="BodyTextChar">
    <w:name w:val="Body Text Char"/>
    <w:link w:val="BodyText"/>
    <w:rsid w:val="00DE3346"/>
    <w:rPr>
      <w:rFonts w:ascii="Times New Roman" w:hAnsi="Times New Roman"/>
      <w:lang w:val="en-GB" w:eastAsia="zh-CN"/>
    </w:rPr>
  </w:style>
  <w:style w:type="paragraph" w:customStyle="1" w:styleId="B5">
    <w:name w:val="B5"/>
    <w:basedOn w:val="List5"/>
    <w:rsid w:val="00DE3346"/>
    <w:pPr>
      <w:spacing w:after="180"/>
      <w:jc w:val="left"/>
    </w:pPr>
    <w:rPr>
      <w:lang w:eastAsia="en-US"/>
    </w:rPr>
  </w:style>
  <w:style w:type="paragraph" w:customStyle="1" w:styleId="EX">
    <w:name w:val="EX"/>
    <w:basedOn w:val="Normal"/>
    <w:rsid w:val="00DE3346"/>
    <w:pPr>
      <w:keepLines/>
      <w:spacing w:after="180"/>
      <w:ind w:left="1702" w:hanging="1418"/>
      <w:jc w:val="left"/>
    </w:pPr>
    <w:rPr>
      <w:lang w:eastAsia="en-US"/>
    </w:rPr>
  </w:style>
  <w:style w:type="paragraph" w:customStyle="1" w:styleId="EW">
    <w:name w:val="EW"/>
    <w:basedOn w:val="EX"/>
    <w:rsid w:val="00DE3346"/>
    <w:pPr>
      <w:spacing w:after="0"/>
    </w:pPr>
  </w:style>
  <w:style w:type="paragraph" w:customStyle="1" w:styleId="TAL">
    <w:name w:val="TAL"/>
    <w:basedOn w:val="Normal"/>
    <w:rsid w:val="00DE3346"/>
    <w:pPr>
      <w:keepNext/>
      <w:keepLines/>
      <w:spacing w:after="0"/>
      <w:jc w:val="left"/>
    </w:pPr>
    <w:rPr>
      <w:sz w:val="18"/>
      <w:lang w:eastAsia="en-US"/>
    </w:rPr>
  </w:style>
  <w:style w:type="paragraph" w:customStyle="1" w:styleId="TAC">
    <w:name w:val="TAC"/>
    <w:basedOn w:val="TAL"/>
    <w:rsid w:val="00DE3346"/>
    <w:pPr>
      <w:jc w:val="center"/>
    </w:pPr>
  </w:style>
  <w:style w:type="paragraph" w:customStyle="1" w:styleId="TAH">
    <w:name w:val="TAH"/>
    <w:basedOn w:val="TAC"/>
    <w:rsid w:val="00DE3346"/>
    <w:rPr>
      <w:b/>
    </w:rPr>
  </w:style>
  <w:style w:type="paragraph" w:customStyle="1" w:styleId="TAN">
    <w:name w:val="TAN"/>
    <w:basedOn w:val="TAL"/>
    <w:rsid w:val="00DE3346"/>
    <w:pPr>
      <w:ind w:left="851" w:hanging="851"/>
    </w:pPr>
  </w:style>
  <w:style w:type="paragraph" w:customStyle="1" w:styleId="TAR">
    <w:name w:val="TAR"/>
    <w:basedOn w:val="TAL"/>
    <w:rsid w:val="00DE3346"/>
    <w:pPr>
      <w:jc w:val="right"/>
    </w:pPr>
  </w:style>
  <w:style w:type="paragraph" w:customStyle="1" w:styleId="TH">
    <w:name w:val="TH"/>
    <w:basedOn w:val="Normal"/>
    <w:rsid w:val="00DE3346"/>
    <w:pPr>
      <w:keepNext/>
      <w:keepLines/>
      <w:spacing w:before="60" w:after="180"/>
      <w:jc w:val="center"/>
    </w:pPr>
    <w:rPr>
      <w:b/>
      <w:lang w:eastAsia="en-US"/>
    </w:rPr>
  </w:style>
  <w:style w:type="paragraph" w:customStyle="1" w:styleId="TF">
    <w:name w:val="TF"/>
    <w:basedOn w:val="TH"/>
    <w:rsid w:val="00DE3346"/>
    <w:pPr>
      <w:keepNext w:val="0"/>
      <w:spacing w:before="0" w:after="240"/>
    </w:pPr>
  </w:style>
  <w:style w:type="paragraph" w:customStyle="1" w:styleId="TT">
    <w:name w:val="TT"/>
    <w:basedOn w:val="Heading1"/>
    <w:next w:val="Normal"/>
    <w:rsid w:val="00DE3346"/>
    <w:pPr>
      <w:numPr>
        <w:numId w:val="0"/>
      </w:numPr>
      <w:ind w:left="1134" w:hanging="1134"/>
      <w:outlineLvl w:val="9"/>
    </w:pPr>
    <w:rPr>
      <w:rFonts w:cs="Times New Roman"/>
      <w:szCs w:val="20"/>
      <w:lang w:eastAsia="en-US"/>
    </w:rPr>
  </w:style>
  <w:style w:type="paragraph" w:customStyle="1" w:styleId="ZA">
    <w:name w:val="ZA"/>
    <w:rsid w:val="00DE3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3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33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33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3346"/>
  </w:style>
  <w:style w:type="paragraph" w:customStyle="1" w:styleId="ZH">
    <w:name w:val="ZH"/>
    <w:rsid w:val="00DE33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33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3346"/>
    <w:pPr>
      <w:framePr w:hRule="auto" w:wrap="notBeside" w:y="852"/>
    </w:pPr>
    <w:rPr>
      <w:i w:val="0"/>
      <w:sz w:val="40"/>
    </w:rPr>
  </w:style>
  <w:style w:type="paragraph" w:customStyle="1" w:styleId="ZU">
    <w:name w:val="ZU"/>
    <w:rsid w:val="00DE3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3346"/>
    <w:pPr>
      <w:framePr w:wrap="notBeside" w:y="16161"/>
    </w:pPr>
  </w:style>
  <w:style w:type="paragraph" w:customStyle="1" w:styleId="FP">
    <w:name w:val="FP"/>
    <w:basedOn w:val="Normal"/>
    <w:rsid w:val="00DE3346"/>
    <w:pPr>
      <w:spacing w:after="0"/>
      <w:jc w:val="left"/>
    </w:pPr>
    <w:rPr>
      <w:lang w:eastAsia="en-US"/>
    </w:rPr>
  </w:style>
  <w:style w:type="paragraph" w:customStyle="1" w:styleId="Observation">
    <w:name w:val="Observation"/>
    <w:basedOn w:val="Proposal"/>
    <w:qFormat/>
    <w:rsid w:val="00DE3346"/>
    <w:pPr>
      <w:numPr>
        <w:numId w:val="13"/>
      </w:numPr>
      <w:ind w:left="1701" w:hanging="1701"/>
    </w:pPr>
  </w:style>
  <w:style w:type="paragraph" w:styleId="TableofFigures">
    <w:name w:val="table of figures"/>
    <w:basedOn w:val="Normal"/>
    <w:next w:val="Normal"/>
    <w:uiPriority w:val="99"/>
    <w:rsid w:val="00DE3346"/>
    <w:pPr>
      <w:ind w:left="1418" w:hanging="1418"/>
      <w:jc w:val="left"/>
    </w:pPr>
    <w:rPr>
      <w:b/>
    </w:rPr>
  </w:style>
  <w:style w:type="paragraph" w:styleId="Index4">
    <w:name w:val="index 4"/>
    <w:basedOn w:val="Normal"/>
    <w:next w:val="Normal"/>
    <w:autoRedefine/>
    <w:rsid w:val="00DE334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1AD2E-D861-4C08-A133-309DF2F8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37</TotalTime>
  <Pages>1</Pages>
  <Words>1066</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14</cp:revision>
  <cp:lastPrinted>2008-01-31T15:09:00Z</cp:lastPrinted>
  <dcterms:created xsi:type="dcterms:W3CDTF">2016-09-26T06:03:00Z</dcterms:created>
  <dcterms:modified xsi:type="dcterms:W3CDTF">2016-09-30T20:03:00Z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